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资阳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高新投资集团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人员招聘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公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告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》（以下简称公告）及相关材料，清楚并理解其内容。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11"/>
          <w:szCs w:val="32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本人若被确定为考察对象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初步人选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统一组织的体检，知悉体检标准参照《公务员录用体检通用标准（试行）》；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、本人若被确定为考察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，自愿接受考察、背景调查；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四、本人聘用期间，公司安排兼任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其他岗位时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，同意不另行要求增加薪酬待遇；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、对违反以上承诺所造成的后果，本人自愿承担相应责任。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日期：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75344"/>
    <w:rsid w:val="3EB729C7"/>
    <w:rsid w:val="533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Text2"/>
    <w:basedOn w:val="1"/>
    <w:qFormat/>
    <w:uiPriority w:val="0"/>
    <w:pPr>
      <w:spacing w:after="120" w:line="480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290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2021-09-30T07:29:00Z</dcterms:created>
  <dc:creator>恃才傲物♂</dc:creator>
  <cp:lastModifiedBy>资阳大众网招聘&amp;小郭</cp:lastModifiedBy>
  <dcterms:modified xsi:type="dcterms:W3CDTF">2022-06-09T07:01:03Z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5BBB080CEE2C42229ABA84B655ED9366</vt:lpwstr>
  </property>
</Properties>
</file>